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4518"/>
        <w:gridCol w:w="5040"/>
        <w:gridCol w:w="5040"/>
      </w:tblGrid>
      <w:tr w:rsidR="004C5641" w:rsidRPr="009B0523" w:rsidTr="004411A9">
        <w:trPr>
          <w:trHeight w:val="1325"/>
        </w:trPr>
        <w:tc>
          <w:tcPr>
            <w:tcW w:w="4518" w:type="dxa"/>
            <w:vAlign w:val="center"/>
          </w:tcPr>
          <w:p w:rsidR="004C5641" w:rsidRPr="009B0523" w:rsidRDefault="004C5641" w:rsidP="004C5641">
            <w:pPr>
              <w:jc w:val="center"/>
              <w:rPr>
                <w:rFonts w:cs="Arial"/>
                <w:b/>
                <w:sz w:val="60"/>
                <w:szCs w:val="60"/>
                <w:lang w:val="it-IT"/>
              </w:rPr>
            </w:pPr>
            <w:r w:rsidRPr="009B0523">
              <w:rPr>
                <w:rFonts w:cs="Arial"/>
                <w:b/>
                <w:sz w:val="60"/>
                <w:szCs w:val="60"/>
                <w:lang w:val="it-IT"/>
              </w:rPr>
              <w:t>AVVISO</w:t>
            </w:r>
          </w:p>
          <w:p w:rsidR="004C5641" w:rsidRPr="009B0523" w:rsidRDefault="004C5641" w:rsidP="00EE1B44">
            <w:pPr>
              <w:jc w:val="center"/>
              <w:rPr>
                <w:rFonts w:cs="Arial"/>
                <w:b/>
                <w:sz w:val="44"/>
                <w:szCs w:val="44"/>
                <w:lang w:val="it-IT"/>
              </w:rPr>
            </w:pPr>
            <w:r w:rsidRPr="009B0523">
              <w:rPr>
                <w:rFonts w:cs="Arial"/>
                <w:b/>
                <w:sz w:val="60"/>
                <w:szCs w:val="60"/>
                <w:lang w:val="it-IT"/>
              </w:rPr>
              <w:t>n.</w:t>
            </w:r>
            <w:r w:rsidR="00605EE6">
              <w:rPr>
                <w:rFonts w:cs="Arial"/>
                <w:b/>
                <w:sz w:val="60"/>
                <w:szCs w:val="60"/>
                <w:lang w:val="it-IT"/>
              </w:rPr>
              <w:t xml:space="preserve"> </w:t>
            </w:r>
            <w:r w:rsidR="00642F0A">
              <w:rPr>
                <w:rFonts w:cs="Arial"/>
                <w:b/>
                <w:sz w:val="60"/>
                <w:szCs w:val="60"/>
                <w:lang w:val="it-IT"/>
              </w:rPr>
              <w:t>2</w:t>
            </w:r>
            <w:r w:rsidR="004C7870">
              <w:rPr>
                <w:rFonts w:cs="Arial"/>
                <w:b/>
                <w:sz w:val="60"/>
                <w:szCs w:val="60"/>
                <w:lang w:val="it-IT"/>
              </w:rPr>
              <w:t>5</w:t>
            </w:r>
            <w:r w:rsidR="008D572D">
              <w:rPr>
                <w:rFonts w:cs="Arial"/>
                <w:b/>
                <w:sz w:val="60"/>
                <w:szCs w:val="60"/>
                <w:lang w:val="it-IT"/>
              </w:rPr>
              <w:t>7</w:t>
            </w:r>
            <w:r w:rsidR="00EE1B44">
              <w:rPr>
                <w:rFonts w:cs="Arial"/>
                <w:b/>
                <w:sz w:val="60"/>
                <w:szCs w:val="60"/>
                <w:lang w:val="it-IT"/>
              </w:rPr>
              <w:t>0</w:t>
            </w:r>
          </w:p>
        </w:tc>
        <w:tc>
          <w:tcPr>
            <w:tcW w:w="5040" w:type="dxa"/>
            <w:vAlign w:val="center"/>
          </w:tcPr>
          <w:p w:rsidR="004C5641" w:rsidRPr="009B0523" w:rsidRDefault="00C10A91" w:rsidP="00EE1B44">
            <w:pPr>
              <w:jc w:val="center"/>
              <w:rPr>
                <w:rFonts w:cs="Arial"/>
                <w:b/>
                <w:color w:val="FF0000"/>
                <w:sz w:val="44"/>
                <w:szCs w:val="44"/>
                <w:lang w:val="it-IT"/>
              </w:rPr>
            </w:pPr>
            <w:r>
              <w:rPr>
                <w:rFonts w:cs="Arial"/>
                <w:b/>
                <w:sz w:val="44"/>
                <w:szCs w:val="44"/>
                <w:lang w:val="it-IT"/>
              </w:rPr>
              <w:t>1</w:t>
            </w:r>
            <w:r w:rsidR="008D572D">
              <w:rPr>
                <w:rFonts w:cs="Arial"/>
                <w:b/>
                <w:sz w:val="44"/>
                <w:szCs w:val="44"/>
                <w:lang w:val="it-IT"/>
              </w:rPr>
              <w:t>7</w:t>
            </w:r>
            <w:r w:rsidR="00C777E2">
              <w:rPr>
                <w:rFonts w:cs="Arial"/>
                <w:b/>
                <w:sz w:val="44"/>
                <w:szCs w:val="44"/>
                <w:lang w:val="it-IT"/>
              </w:rPr>
              <w:t xml:space="preserve"> dicembre</w:t>
            </w:r>
            <w:r w:rsidR="00D87FF1" w:rsidRPr="009B0523">
              <w:rPr>
                <w:rFonts w:cs="Arial"/>
                <w:b/>
                <w:color w:val="FF0000"/>
                <w:sz w:val="44"/>
                <w:szCs w:val="44"/>
                <w:lang w:val="it-IT"/>
              </w:rPr>
              <w:t xml:space="preserve"> </w:t>
            </w:r>
            <w:r w:rsidR="00D87FF1">
              <w:rPr>
                <w:rFonts w:cs="Arial"/>
                <w:b/>
                <w:sz w:val="44"/>
                <w:szCs w:val="44"/>
                <w:lang w:val="it-IT"/>
              </w:rPr>
              <w:t>201</w:t>
            </w:r>
            <w:r w:rsidR="00997DEB">
              <w:rPr>
                <w:rFonts w:cs="Arial"/>
                <w:b/>
                <w:sz w:val="44"/>
                <w:szCs w:val="44"/>
                <w:lang w:val="it-IT"/>
              </w:rPr>
              <w:t>9</w:t>
            </w:r>
          </w:p>
        </w:tc>
        <w:tc>
          <w:tcPr>
            <w:tcW w:w="5040" w:type="dxa"/>
            <w:vAlign w:val="center"/>
          </w:tcPr>
          <w:p w:rsidR="004C5641" w:rsidRPr="009B0523" w:rsidRDefault="004C5641" w:rsidP="004C5641">
            <w:pPr>
              <w:jc w:val="center"/>
              <w:rPr>
                <w:rFonts w:cs="Arial"/>
                <w:b/>
                <w:sz w:val="44"/>
                <w:szCs w:val="44"/>
                <w:lang w:val="it-IT"/>
              </w:rPr>
            </w:pPr>
            <w:r w:rsidRPr="009B0523">
              <w:rPr>
                <w:rFonts w:cs="Arial"/>
                <w:b/>
                <w:sz w:val="44"/>
                <w:szCs w:val="44"/>
                <w:lang w:val="it-IT"/>
              </w:rPr>
              <w:t>EuroTLX</w:t>
            </w:r>
          </w:p>
        </w:tc>
      </w:tr>
    </w:tbl>
    <w:p w:rsidR="00274A52" w:rsidRPr="004C5641" w:rsidRDefault="00274A52" w:rsidP="00A95242">
      <w:pPr>
        <w:jc w:val="both"/>
        <w:rPr>
          <w:rFonts w:cs="Arial"/>
          <w:sz w:val="32"/>
          <w:szCs w:val="32"/>
          <w:lang w:val="it-IT"/>
        </w:rPr>
      </w:pPr>
      <w:r w:rsidRPr="004C5641">
        <w:rPr>
          <w:rFonts w:cs="Arial"/>
          <w:sz w:val="32"/>
          <w:szCs w:val="32"/>
          <w:lang w:val="it-IT"/>
        </w:rPr>
        <w:t>Mittente del comunicato:</w:t>
      </w:r>
      <w:r w:rsidRPr="004C5641">
        <w:rPr>
          <w:rFonts w:cs="Arial"/>
          <w:sz w:val="32"/>
          <w:szCs w:val="32"/>
          <w:lang w:val="it-IT"/>
        </w:rPr>
        <w:tab/>
        <w:t xml:space="preserve"> </w:t>
      </w:r>
      <w:r w:rsidR="004C5641" w:rsidRPr="004C5641">
        <w:rPr>
          <w:rFonts w:cs="Arial"/>
          <w:sz w:val="32"/>
          <w:szCs w:val="32"/>
          <w:lang w:val="it-IT"/>
        </w:rPr>
        <w:tab/>
      </w:r>
      <w:r w:rsidRPr="004C5641">
        <w:rPr>
          <w:rFonts w:cs="Arial"/>
          <w:b/>
          <w:sz w:val="32"/>
          <w:szCs w:val="32"/>
          <w:lang w:val="it-IT"/>
        </w:rPr>
        <w:t>EuroTLX</w:t>
      </w:r>
      <w:r w:rsidR="004C5641" w:rsidRPr="004C5641">
        <w:rPr>
          <w:rFonts w:cs="Arial"/>
          <w:b/>
          <w:sz w:val="32"/>
          <w:szCs w:val="32"/>
          <w:lang w:val="it-IT"/>
        </w:rPr>
        <w:t xml:space="preserve"> SIM</w:t>
      </w:r>
    </w:p>
    <w:p w:rsidR="004C5641" w:rsidRPr="004C5641" w:rsidRDefault="004C5641" w:rsidP="00A95242">
      <w:pPr>
        <w:jc w:val="both"/>
        <w:rPr>
          <w:rFonts w:cs="Arial"/>
          <w:sz w:val="32"/>
          <w:szCs w:val="32"/>
          <w:lang w:val="it-IT"/>
        </w:rPr>
      </w:pPr>
      <w:r w:rsidRPr="004C5641">
        <w:rPr>
          <w:rFonts w:cs="Arial"/>
          <w:sz w:val="32"/>
          <w:szCs w:val="32"/>
          <w:lang w:val="it-IT"/>
        </w:rPr>
        <w:t>Società oggetto dell'Avviso:</w:t>
      </w:r>
      <w:r w:rsidRPr="004C5641">
        <w:rPr>
          <w:rFonts w:cs="Arial"/>
          <w:sz w:val="32"/>
          <w:szCs w:val="32"/>
          <w:lang w:val="it-IT"/>
        </w:rPr>
        <w:tab/>
      </w:r>
      <w:r w:rsidRPr="004C5641">
        <w:rPr>
          <w:rFonts w:cs="Arial"/>
          <w:sz w:val="32"/>
          <w:szCs w:val="32"/>
          <w:lang w:val="it-IT"/>
        </w:rPr>
        <w:tab/>
        <w:t>---</w:t>
      </w:r>
    </w:p>
    <w:p w:rsidR="00E01204" w:rsidRDefault="00F73019" w:rsidP="00A95242">
      <w:pPr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sz w:val="32"/>
          <w:szCs w:val="32"/>
          <w:lang w:val="it-IT"/>
        </w:rPr>
        <w:t>Oggetto:</w:t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 w:rsidR="004411A9" w:rsidRPr="004411A9">
        <w:rPr>
          <w:rFonts w:cs="Arial"/>
          <w:b/>
          <w:sz w:val="32"/>
          <w:szCs w:val="32"/>
          <w:lang w:val="it-IT"/>
        </w:rPr>
        <w:t>MODIFICA</w:t>
      </w:r>
      <w:r w:rsidR="004411A9">
        <w:rPr>
          <w:rFonts w:cs="Arial"/>
          <w:sz w:val="32"/>
          <w:szCs w:val="32"/>
          <w:lang w:val="it-IT"/>
        </w:rPr>
        <w:t xml:space="preserve"> </w:t>
      </w:r>
      <w:r w:rsidR="009B0523">
        <w:rPr>
          <w:rFonts w:cs="Arial"/>
          <w:b/>
          <w:sz w:val="32"/>
          <w:szCs w:val="32"/>
          <w:lang w:val="it-IT"/>
        </w:rPr>
        <w:t>OBBLIGHI DI LIQUIDITA’</w:t>
      </w:r>
    </w:p>
    <w:p w:rsidR="0023411B" w:rsidRPr="0023411B" w:rsidRDefault="0023411B" w:rsidP="00234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32"/>
          <w:szCs w:val="32"/>
          <w:lang w:val="it-IT"/>
        </w:rPr>
      </w:pPr>
      <w:r>
        <w:rPr>
          <w:rFonts w:cs="Arial"/>
          <w:sz w:val="32"/>
          <w:szCs w:val="32"/>
          <w:lang w:val="it-IT"/>
        </w:rPr>
        <w:t>Testo del comunicato</w:t>
      </w:r>
    </w:p>
    <w:p w:rsidR="0023411B" w:rsidRDefault="0023411B" w:rsidP="0023411B">
      <w:pPr>
        <w:rPr>
          <w:rFonts w:cs="Times New Roman"/>
          <w:sz w:val="26"/>
          <w:szCs w:val="26"/>
          <w:lang w:val="it-IT"/>
        </w:rPr>
      </w:pPr>
      <w:r w:rsidRPr="009B6671">
        <w:rPr>
          <w:rFonts w:cs="Times New Roman"/>
          <w:sz w:val="26"/>
          <w:szCs w:val="26"/>
          <w:lang w:val="it-IT"/>
        </w:rPr>
        <w:t>EuroTLX comunica che, a partire dal</w:t>
      </w:r>
      <w:r>
        <w:rPr>
          <w:rFonts w:cs="Times New Roman"/>
          <w:sz w:val="26"/>
          <w:szCs w:val="26"/>
          <w:lang w:val="it-IT"/>
        </w:rPr>
        <w:t xml:space="preserve"> giorno </w:t>
      </w:r>
      <w:r w:rsidR="008D572D">
        <w:rPr>
          <w:rFonts w:cs="Times New Roman"/>
          <w:b/>
          <w:sz w:val="26"/>
          <w:szCs w:val="26"/>
          <w:u w:val="single"/>
          <w:lang w:val="it-IT"/>
        </w:rPr>
        <w:t>18.</w:t>
      </w:r>
      <w:r>
        <w:rPr>
          <w:rFonts w:cs="Times New Roman"/>
          <w:b/>
          <w:sz w:val="26"/>
          <w:szCs w:val="26"/>
          <w:u w:val="single"/>
          <w:lang w:val="it-IT"/>
        </w:rPr>
        <w:t>1</w:t>
      </w:r>
      <w:r w:rsidR="004F5760">
        <w:rPr>
          <w:rFonts w:cs="Times New Roman"/>
          <w:b/>
          <w:sz w:val="26"/>
          <w:szCs w:val="26"/>
          <w:u w:val="single"/>
          <w:lang w:val="it-IT"/>
        </w:rPr>
        <w:t>2</w:t>
      </w:r>
      <w:r>
        <w:rPr>
          <w:rFonts w:cs="Times New Roman"/>
          <w:b/>
          <w:sz w:val="26"/>
          <w:szCs w:val="26"/>
          <w:u w:val="single"/>
          <w:lang w:val="it-IT"/>
        </w:rPr>
        <w:t>.2019</w:t>
      </w:r>
      <w:r>
        <w:rPr>
          <w:rFonts w:cs="Times New Roman"/>
          <w:b/>
          <w:sz w:val="26"/>
          <w:szCs w:val="26"/>
          <w:lang w:val="it-IT"/>
        </w:rPr>
        <w:t xml:space="preserve"> </w:t>
      </w:r>
      <w:r w:rsidR="008D572D" w:rsidRPr="008D572D">
        <w:rPr>
          <w:rFonts w:cs="Times New Roman"/>
          <w:sz w:val="26"/>
          <w:szCs w:val="26"/>
          <w:lang w:val="it-IT"/>
        </w:rPr>
        <w:t>Deutsche Bank AG</w:t>
      </w:r>
      <w:r w:rsidR="008D572D"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operer</w:t>
      </w:r>
      <w:r>
        <w:rPr>
          <w:rFonts w:cs="Times New Roman"/>
          <w:sz w:val="26"/>
          <w:szCs w:val="26"/>
          <w:lang w:val="it-IT"/>
        </w:rPr>
        <w:t>à</w:t>
      </w:r>
      <w:r w:rsidRPr="009B6671">
        <w:rPr>
          <w:rFonts w:cs="Times New Roman"/>
          <w:sz w:val="26"/>
          <w:szCs w:val="26"/>
          <w:lang w:val="it-IT"/>
        </w:rPr>
        <w:t xml:space="preserve"> in qualità di Liquidity Provider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su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seguent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strument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finanziari</w:t>
      </w:r>
      <w:r>
        <w:rPr>
          <w:rFonts w:cs="Times New Roman"/>
          <w:sz w:val="26"/>
          <w:szCs w:val="26"/>
          <w:lang w:val="it-IT"/>
        </w:rPr>
        <w:t xml:space="preserve"> non più ai sensi ai sensi </w:t>
      </w:r>
      <w:r w:rsidR="00335DE0" w:rsidRPr="007950D1">
        <w:rPr>
          <w:rFonts w:cs="Times New Roman"/>
          <w:sz w:val="26"/>
          <w:szCs w:val="26"/>
          <w:lang w:val="it-IT"/>
        </w:rPr>
        <w:t>dell’</w:t>
      </w:r>
      <w:r w:rsidR="001D3650" w:rsidRPr="001D3650">
        <w:rPr>
          <w:rFonts w:cs="Times New Roman"/>
          <w:sz w:val="26"/>
          <w:szCs w:val="26"/>
          <w:lang w:val="it-IT"/>
        </w:rPr>
        <w:t xml:space="preserve"> </w:t>
      </w:r>
      <w:r w:rsidR="00D126D4" w:rsidRPr="007950D1">
        <w:rPr>
          <w:rFonts w:cs="Times New Roman"/>
          <w:sz w:val="26"/>
          <w:szCs w:val="26"/>
          <w:lang w:val="it-IT"/>
        </w:rPr>
        <w:t xml:space="preserve">art. </w:t>
      </w:r>
      <w:r w:rsidR="00182EF0">
        <w:rPr>
          <w:rFonts w:cs="Times New Roman"/>
          <w:sz w:val="26"/>
          <w:szCs w:val="26"/>
          <w:lang w:val="it-IT"/>
        </w:rPr>
        <w:t>6.4 (obblighi di quotazione buy – sell</w:t>
      </w:r>
      <w:r w:rsidR="00D126D4">
        <w:rPr>
          <w:rFonts w:cs="Times New Roman"/>
          <w:sz w:val="26"/>
          <w:szCs w:val="26"/>
          <w:lang w:val="it-IT"/>
        </w:rPr>
        <w:t xml:space="preserve">) </w:t>
      </w:r>
      <w:r w:rsidR="00335DE0">
        <w:rPr>
          <w:rFonts w:cs="Times New Roman"/>
          <w:sz w:val="26"/>
          <w:szCs w:val="26"/>
          <w:lang w:val="it-IT"/>
        </w:rPr>
        <w:t>ma ai sensi dell’</w:t>
      </w:r>
      <w:r w:rsidR="001D3650" w:rsidRPr="001D3650">
        <w:rPr>
          <w:rFonts w:cs="Times New Roman"/>
          <w:sz w:val="26"/>
          <w:szCs w:val="26"/>
          <w:lang w:val="it-IT"/>
        </w:rPr>
        <w:t xml:space="preserve"> </w:t>
      </w:r>
      <w:r w:rsidR="00D126D4">
        <w:rPr>
          <w:rFonts w:cs="Times New Roman"/>
          <w:sz w:val="26"/>
          <w:szCs w:val="26"/>
          <w:lang w:val="it-IT"/>
        </w:rPr>
        <w:t xml:space="preserve">art </w:t>
      </w:r>
      <w:r w:rsidR="00182EF0" w:rsidRPr="007950D1">
        <w:rPr>
          <w:rFonts w:cs="Times New Roman"/>
          <w:sz w:val="26"/>
          <w:szCs w:val="26"/>
          <w:lang w:val="it-IT"/>
        </w:rPr>
        <w:t>6.5 (obblighi single side</w:t>
      </w:r>
      <w:r w:rsidR="00D126D4" w:rsidRPr="007950D1">
        <w:rPr>
          <w:rFonts w:cs="Times New Roman"/>
          <w:sz w:val="26"/>
          <w:szCs w:val="26"/>
          <w:lang w:val="it-IT"/>
        </w:rPr>
        <w:t>)</w:t>
      </w:r>
      <w:r w:rsidR="00D126D4">
        <w:rPr>
          <w:rFonts w:cs="Times New Roman"/>
          <w:sz w:val="26"/>
          <w:szCs w:val="26"/>
          <w:lang w:val="it-IT"/>
        </w:rPr>
        <w:t xml:space="preserve"> :</w:t>
      </w:r>
    </w:p>
    <w:tbl>
      <w:tblPr>
        <w:tblW w:w="0" w:type="auto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06"/>
        <w:gridCol w:w="1842"/>
        <w:gridCol w:w="1276"/>
        <w:gridCol w:w="1134"/>
        <w:gridCol w:w="1701"/>
        <w:gridCol w:w="2126"/>
        <w:gridCol w:w="1134"/>
        <w:gridCol w:w="1079"/>
      </w:tblGrid>
      <w:tr w:rsidR="0023411B" w:rsidRPr="008D572D" w:rsidTr="00936197">
        <w:trPr>
          <w:trHeight w:val="837"/>
          <w:jc w:val="center"/>
        </w:trPr>
        <w:tc>
          <w:tcPr>
            <w:tcW w:w="16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ISIN</w:t>
            </w:r>
          </w:p>
          <w:p w:rsidR="001D3650" w:rsidRPr="008D572D" w:rsidRDefault="001D3650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90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Denominazione Strumento</w:t>
            </w:r>
          </w:p>
        </w:tc>
        <w:tc>
          <w:tcPr>
            <w:tcW w:w="18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127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Trading Code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Instrument ID</w:t>
            </w:r>
          </w:p>
        </w:tc>
        <w:tc>
          <w:tcPr>
            <w:tcW w:w="1701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Classificazione EuroTLX</w:t>
            </w:r>
          </w:p>
        </w:tc>
        <w:tc>
          <w:tcPr>
            <w:tcW w:w="212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Liquidity Provider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Obblighi Quotazione Continua</w:t>
            </w:r>
          </w:p>
        </w:tc>
        <w:tc>
          <w:tcPr>
            <w:tcW w:w="1079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411B" w:rsidRPr="008D572D" w:rsidRDefault="0023411B" w:rsidP="00F3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Obblighi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Quantità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Minima</w:t>
            </w:r>
          </w:p>
        </w:tc>
      </w:tr>
      <w:tr w:rsidR="008D572D" w:rsidRPr="008D572D" w:rsidTr="004C01C9">
        <w:trPr>
          <w:trHeight w:val="1750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E8231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XS0461372053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E8231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DB - TV FLOOR 29MZ21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E8231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DB - TV FLOOR 29MZ21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E8231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XS0461372053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E8231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30749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E8231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Banking Bond Other than Eurobond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4C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  <w:t>L'elenco completo ed aggiornato dei Liquidity Provider è diffuso quotidianamente attraverso i canali informativi del mercato ed è disponibile sul sito internet www.eurotlx.com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4C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bid only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4C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40000</w:t>
            </w:r>
          </w:p>
        </w:tc>
      </w:tr>
    </w:tbl>
    <w:p w:rsidR="00967F41" w:rsidRDefault="00967F41" w:rsidP="002D0E62">
      <w:pPr>
        <w:rPr>
          <w:rFonts w:cs="Times New Roman"/>
          <w:sz w:val="26"/>
          <w:szCs w:val="26"/>
          <w:lang w:val="it-IT"/>
        </w:rPr>
      </w:pPr>
    </w:p>
    <w:p w:rsidR="008D572D" w:rsidRDefault="008D572D" w:rsidP="008D572D">
      <w:pPr>
        <w:rPr>
          <w:rFonts w:cs="Times New Roman"/>
          <w:sz w:val="26"/>
          <w:szCs w:val="26"/>
          <w:lang w:val="it-IT"/>
        </w:rPr>
      </w:pPr>
      <w:r w:rsidRPr="009B6671">
        <w:rPr>
          <w:rFonts w:cs="Times New Roman"/>
          <w:sz w:val="26"/>
          <w:szCs w:val="26"/>
          <w:lang w:val="it-IT"/>
        </w:rPr>
        <w:t>EuroTLX comunica che, a partire dal</w:t>
      </w:r>
      <w:r>
        <w:rPr>
          <w:rFonts w:cs="Times New Roman"/>
          <w:sz w:val="26"/>
          <w:szCs w:val="26"/>
          <w:lang w:val="it-IT"/>
        </w:rPr>
        <w:t xml:space="preserve"> giorno </w:t>
      </w:r>
      <w:r>
        <w:rPr>
          <w:rFonts w:cs="Times New Roman"/>
          <w:b/>
          <w:sz w:val="26"/>
          <w:szCs w:val="26"/>
          <w:u w:val="single"/>
          <w:lang w:val="it-IT"/>
        </w:rPr>
        <w:t>18.12.2019</w:t>
      </w:r>
      <w:r>
        <w:rPr>
          <w:rFonts w:cs="Times New Roman"/>
          <w:b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 xml:space="preserve">Equita SIM S.P.A. </w:t>
      </w:r>
      <w:r w:rsidRPr="009B6671">
        <w:rPr>
          <w:rFonts w:cs="Times New Roman"/>
          <w:sz w:val="26"/>
          <w:szCs w:val="26"/>
          <w:lang w:val="it-IT"/>
        </w:rPr>
        <w:t>operer</w:t>
      </w:r>
      <w:r>
        <w:rPr>
          <w:rFonts w:cs="Times New Roman"/>
          <w:sz w:val="26"/>
          <w:szCs w:val="26"/>
          <w:lang w:val="it-IT"/>
        </w:rPr>
        <w:t>à</w:t>
      </w:r>
      <w:r w:rsidRPr="009B6671">
        <w:rPr>
          <w:rFonts w:cs="Times New Roman"/>
          <w:sz w:val="26"/>
          <w:szCs w:val="26"/>
          <w:lang w:val="it-IT"/>
        </w:rPr>
        <w:t xml:space="preserve"> in qualità di Liquidity Provider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su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seguent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strument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finanziari</w:t>
      </w:r>
      <w:r>
        <w:rPr>
          <w:rFonts w:cs="Times New Roman"/>
          <w:sz w:val="26"/>
          <w:szCs w:val="26"/>
          <w:lang w:val="it-IT"/>
        </w:rPr>
        <w:t xml:space="preserve"> non più ai sensi ai sensi </w:t>
      </w:r>
      <w:r w:rsidRPr="007950D1">
        <w:rPr>
          <w:rFonts w:cs="Times New Roman"/>
          <w:sz w:val="26"/>
          <w:szCs w:val="26"/>
          <w:lang w:val="it-IT"/>
        </w:rPr>
        <w:t>dell’</w:t>
      </w:r>
      <w:r w:rsidRPr="001D3650">
        <w:rPr>
          <w:rFonts w:cs="Times New Roman"/>
          <w:sz w:val="26"/>
          <w:szCs w:val="26"/>
          <w:lang w:val="it-IT"/>
        </w:rPr>
        <w:t xml:space="preserve"> </w:t>
      </w:r>
      <w:r w:rsidRPr="007950D1">
        <w:rPr>
          <w:rFonts w:cs="Times New Roman"/>
          <w:sz w:val="26"/>
          <w:szCs w:val="26"/>
          <w:lang w:val="it-IT"/>
        </w:rPr>
        <w:t>art. 6.5 (obblighi single side)</w:t>
      </w:r>
      <w:r>
        <w:rPr>
          <w:rFonts w:cs="Times New Roman"/>
          <w:sz w:val="26"/>
          <w:szCs w:val="26"/>
          <w:lang w:val="it-IT"/>
        </w:rPr>
        <w:t xml:space="preserve"> ma ai sensi dell’</w:t>
      </w:r>
      <w:r w:rsidRPr="001D3650">
        <w:rPr>
          <w:rFonts w:cs="Times New Roman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>art  6.4 (obblighi di quotazione buy – sell):</w:t>
      </w:r>
    </w:p>
    <w:tbl>
      <w:tblPr>
        <w:tblW w:w="0" w:type="auto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06"/>
        <w:gridCol w:w="1842"/>
        <w:gridCol w:w="1276"/>
        <w:gridCol w:w="1134"/>
        <w:gridCol w:w="1701"/>
        <w:gridCol w:w="2126"/>
        <w:gridCol w:w="1134"/>
        <w:gridCol w:w="1079"/>
      </w:tblGrid>
      <w:tr w:rsidR="008D572D" w:rsidRPr="008D572D" w:rsidTr="00915E9E">
        <w:trPr>
          <w:trHeight w:val="837"/>
          <w:jc w:val="center"/>
        </w:trPr>
        <w:tc>
          <w:tcPr>
            <w:tcW w:w="16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lastRenderedPageBreak/>
              <w:t>ISIN</w:t>
            </w:r>
          </w:p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90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Denominazione Strumento</w:t>
            </w:r>
          </w:p>
        </w:tc>
        <w:tc>
          <w:tcPr>
            <w:tcW w:w="18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127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Trading Code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Instrument ID</w:t>
            </w:r>
          </w:p>
        </w:tc>
        <w:tc>
          <w:tcPr>
            <w:tcW w:w="1701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Classificazione EuroTLX</w:t>
            </w:r>
          </w:p>
        </w:tc>
        <w:tc>
          <w:tcPr>
            <w:tcW w:w="212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Liquidity Provider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Obblighi Quotazione Continua</w:t>
            </w:r>
          </w:p>
        </w:tc>
        <w:tc>
          <w:tcPr>
            <w:tcW w:w="1079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Obblighi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Quantità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Minima</w:t>
            </w:r>
          </w:p>
        </w:tc>
      </w:tr>
      <w:tr w:rsidR="008D572D" w:rsidRPr="008D572D" w:rsidTr="00915E9E">
        <w:trPr>
          <w:trHeight w:val="1750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7A3405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US105756AR10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7A3405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BRASILE 8.875% 15AP24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7A3405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BRASILE 8.875% 15AP24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7A3405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US105756AR10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7A3405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33211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7A3405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Other Bonds - EMERGING MARKETS BONDS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  <w:t>L'elenco completo ed aggiornato dei Liquidity Provider è diffuso quotidianamente attraverso i canali informativi del mercato ed è disponibile sul sito internet www.eurotlx.com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8D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bid </w:t>
            </w: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ask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91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40000</w:t>
            </w:r>
          </w:p>
        </w:tc>
      </w:tr>
    </w:tbl>
    <w:p w:rsidR="008D572D" w:rsidRDefault="008D572D" w:rsidP="002D0E62">
      <w:pPr>
        <w:rPr>
          <w:rFonts w:cs="Times New Roman"/>
          <w:sz w:val="26"/>
          <w:szCs w:val="26"/>
          <w:lang w:val="it-IT"/>
        </w:rPr>
      </w:pPr>
    </w:p>
    <w:p w:rsidR="008D572D" w:rsidRDefault="008D572D" w:rsidP="008D572D">
      <w:pPr>
        <w:rPr>
          <w:rFonts w:cs="Times New Roman"/>
          <w:sz w:val="26"/>
          <w:szCs w:val="26"/>
          <w:lang w:val="it-IT"/>
        </w:rPr>
      </w:pPr>
      <w:bookmarkStart w:id="0" w:name="_GoBack"/>
      <w:bookmarkEnd w:id="0"/>
      <w:r w:rsidRPr="009B6671">
        <w:rPr>
          <w:rFonts w:cs="Times New Roman"/>
          <w:sz w:val="26"/>
          <w:szCs w:val="26"/>
          <w:lang w:val="it-IT"/>
        </w:rPr>
        <w:t>EuroTLX comunica che, a partire dal</w:t>
      </w:r>
      <w:r>
        <w:rPr>
          <w:rFonts w:cs="Times New Roman"/>
          <w:sz w:val="26"/>
          <w:szCs w:val="26"/>
          <w:lang w:val="it-IT"/>
        </w:rPr>
        <w:t xml:space="preserve"> giorno </w:t>
      </w:r>
      <w:r>
        <w:rPr>
          <w:rFonts w:cs="Times New Roman"/>
          <w:b/>
          <w:sz w:val="26"/>
          <w:szCs w:val="26"/>
          <w:u w:val="single"/>
          <w:lang w:val="it-IT"/>
        </w:rPr>
        <w:t>18.12.2019</w:t>
      </w:r>
      <w:r>
        <w:rPr>
          <w:rFonts w:cs="Times New Roman"/>
          <w:b/>
          <w:sz w:val="26"/>
          <w:szCs w:val="26"/>
          <w:lang w:val="it-IT"/>
        </w:rPr>
        <w:t xml:space="preserve"> </w:t>
      </w:r>
      <w:r w:rsidRPr="008D572D">
        <w:rPr>
          <w:rFonts w:cs="Times New Roman"/>
          <w:sz w:val="26"/>
          <w:szCs w:val="26"/>
          <w:lang w:val="it-IT"/>
        </w:rPr>
        <w:t>Unicredit Bank AG - Milan Branch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operer</w:t>
      </w:r>
      <w:r>
        <w:rPr>
          <w:rFonts w:cs="Times New Roman"/>
          <w:sz w:val="26"/>
          <w:szCs w:val="26"/>
          <w:lang w:val="it-IT"/>
        </w:rPr>
        <w:t>à</w:t>
      </w:r>
      <w:r w:rsidRPr="009B6671">
        <w:rPr>
          <w:rFonts w:cs="Times New Roman"/>
          <w:sz w:val="26"/>
          <w:szCs w:val="26"/>
          <w:lang w:val="it-IT"/>
        </w:rPr>
        <w:t xml:space="preserve"> in qualità di Liquidity Provider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su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seguent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strument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finanziari</w:t>
      </w:r>
      <w:r>
        <w:rPr>
          <w:rFonts w:cs="Times New Roman"/>
          <w:sz w:val="26"/>
          <w:szCs w:val="26"/>
          <w:lang w:val="it-IT"/>
        </w:rPr>
        <w:t xml:space="preserve"> non più ai sensi ai sensi </w:t>
      </w:r>
      <w:r w:rsidRPr="007950D1">
        <w:rPr>
          <w:rFonts w:cs="Times New Roman"/>
          <w:sz w:val="26"/>
          <w:szCs w:val="26"/>
          <w:lang w:val="it-IT"/>
        </w:rPr>
        <w:t>dell’</w:t>
      </w:r>
      <w:r w:rsidRPr="001D3650">
        <w:rPr>
          <w:rFonts w:cs="Times New Roman"/>
          <w:sz w:val="26"/>
          <w:szCs w:val="26"/>
          <w:lang w:val="it-IT"/>
        </w:rPr>
        <w:t xml:space="preserve"> </w:t>
      </w:r>
      <w:r w:rsidRPr="007950D1">
        <w:rPr>
          <w:rFonts w:cs="Times New Roman"/>
          <w:sz w:val="26"/>
          <w:szCs w:val="26"/>
          <w:lang w:val="it-IT"/>
        </w:rPr>
        <w:t>art. 6.5 (obblighi single side)</w:t>
      </w:r>
      <w:r>
        <w:rPr>
          <w:rFonts w:cs="Times New Roman"/>
          <w:sz w:val="26"/>
          <w:szCs w:val="26"/>
          <w:lang w:val="it-IT"/>
        </w:rPr>
        <w:t xml:space="preserve"> ma ai sensi dell’</w:t>
      </w:r>
      <w:r w:rsidRPr="001D3650">
        <w:rPr>
          <w:rFonts w:cs="Times New Roman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>art  6.4 (obblighi di quotazione buy – sell):</w:t>
      </w:r>
    </w:p>
    <w:tbl>
      <w:tblPr>
        <w:tblW w:w="0" w:type="auto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06"/>
        <w:gridCol w:w="1842"/>
        <w:gridCol w:w="1276"/>
        <w:gridCol w:w="1134"/>
        <w:gridCol w:w="1701"/>
        <w:gridCol w:w="2126"/>
        <w:gridCol w:w="1134"/>
        <w:gridCol w:w="1079"/>
      </w:tblGrid>
      <w:tr w:rsidR="008D572D" w:rsidRPr="008D572D" w:rsidTr="005D34EF">
        <w:trPr>
          <w:trHeight w:val="837"/>
          <w:jc w:val="center"/>
        </w:trPr>
        <w:tc>
          <w:tcPr>
            <w:tcW w:w="16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ISIN</w:t>
            </w:r>
          </w:p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90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Denominazione Strumento</w:t>
            </w:r>
          </w:p>
        </w:tc>
        <w:tc>
          <w:tcPr>
            <w:tcW w:w="18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127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Trading Code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Instrument ID</w:t>
            </w:r>
          </w:p>
        </w:tc>
        <w:tc>
          <w:tcPr>
            <w:tcW w:w="1701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Classificazione EuroTLX</w:t>
            </w:r>
          </w:p>
        </w:tc>
        <w:tc>
          <w:tcPr>
            <w:tcW w:w="212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Liquidity Provider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Obblighi Quotazione Continua</w:t>
            </w:r>
          </w:p>
        </w:tc>
        <w:tc>
          <w:tcPr>
            <w:tcW w:w="1079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Obblighi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Quantità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Minima</w:t>
            </w:r>
          </w:p>
        </w:tc>
      </w:tr>
      <w:tr w:rsidR="008D572D" w:rsidRPr="008D572D" w:rsidTr="005D34EF">
        <w:trPr>
          <w:trHeight w:val="1750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IT0005261117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UCG - FIX FLOAT 19LG23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UCG - FIX FLOAT 19LG23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IT0005261117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31518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Banking Bond Other than Eurobond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  <w:t>L'elenco completo ed aggiornato dei Liquidity Provider è diffuso quotidianamente attraverso i canali informativi del mercato ed è disponibile sul sito internet www.eurotlx.com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bid ask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</w:t>
            </w: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000</w:t>
            </w:r>
          </w:p>
        </w:tc>
      </w:tr>
    </w:tbl>
    <w:p w:rsidR="008D572D" w:rsidRDefault="008D572D" w:rsidP="002D0E62">
      <w:pPr>
        <w:rPr>
          <w:rFonts w:cs="Times New Roman"/>
          <w:sz w:val="26"/>
          <w:szCs w:val="26"/>
          <w:lang w:val="it-IT"/>
        </w:rPr>
      </w:pPr>
    </w:p>
    <w:p w:rsidR="008D572D" w:rsidRDefault="008D572D" w:rsidP="008D572D">
      <w:pPr>
        <w:rPr>
          <w:rFonts w:cs="Times New Roman"/>
          <w:sz w:val="26"/>
          <w:szCs w:val="26"/>
          <w:lang w:val="it-IT"/>
        </w:rPr>
      </w:pPr>
      <w:r w:rsidRPr="009B6671">
        <w:rPr>
          <w:rFonts w:cs="Times New Roman"/>
          <w:sz w:val="26"/>
          <w:szCs w:val="26"/>
          <w:lang w:val="it-IT"/>
        </w:rPr>
        <w:t>EuroTLX comunica che, a partire dal</w:t>
      </w:r>
      <w:r>
        <w:rPr>
          <w:rFonts w:cs="Times New Roman"/>
          <w:sz w:val="26"/>
          <w:szCs w:val="26"/>
          <w:lang w:val="it-IT"/>
        </w:rPr>
        <w:t xml:space="preserve"> giorno </w:t>
      </w:r>
      <w:r>
        <w:rPr>
          <w:rFonts w:cs="Times New Roman"/>
          <w:b/>
          <w:sz w:val="26"/>
          <w:szCs w:val="26"/>
          <w:u w:val="single"/>
          <w:lang w:val="it-IT"/>
        </w:rPr>
        <w:t>18.12.2019</w:t>
      </w:r>
      <w:r>
        <w:rPr>
          <w:rFonts w:cs="Times New Roman"/>
          <w:b/>
          <w:sz w:val="26"/>
          <w:szCs w:val="26"/>
          <w:lang w:val="it-IT"/>
        </w:rPr>
        <w:t xml:space="preserve"> </w:t>
      </w:r>
      <w:r w:rsidRPr="008D572D">
        <w:rPr>
          <w:rFonts w:cs="Times New Roman"/>
          <w:sz w:val="26"/>
          <w:szCs w:val="26"/>
          <w:lang w:val="it-IT"/>
        </w:rPr>
        <w:t>Equita SIM S.P.A.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operer</w:t>
      </w:r>
      <w:r>
        <w:rPr>
          <w:rFonts w:cs="Times New Roman"/>
          <w:sz w:val="26"/>
          <w:szCs w:val="26"/>
          <w:lang w:val="it-IT"/>
        </w:rPr>
        <w:t>à</w:t>
      </w:r>
      <w:r w:rsidRPr="009B6671">
        <w:rPr>
          <w:rFonts w:cs="Times New Roman"/>
          <w:sz w:val="26"/>
          <w:szCs w:val="26"/>
          <w:lang w:val="it-IT"/>
        </w:rPr>
        <w:t xml:space="preserve"> in qualità di Liquidity Provider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9B6671">
        <w:rPr>
          <w:rFonts w:cs="Times New Roman"/>
          <w:sz w:val="26"/>
          <w:szCs w:val="26"/>
          <w:lang w:val="it-IT"/>
        </w:rPr>
        <w:t>su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seguent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strument</w:t>
      </w:r>
      <w:r>
        <w:rPr>
          <w:rFonts w:cs="Times New Roman"/>
          <w:sz w:val="26"/>
          <w:szCs w:val="26"/>
          <w:lang w:val="it-IT"/>
        </w:rPr>
        <w:t xml:space="preserve">i </w:t>
      </w:r>
      <w:r w:rsidRPr="009B6671">
        <w:rPr>
          <w:rFonts w:cs="Times New Roman"/>
          <w:sz w:val="26"/>
          <w:szCs w:val="26"/>
          <w:lang w:val="it-IT"/>
        </w:rPr>
        <w:t>finanziari</w:t>
      </w:r>
      <w:r>
        <w:rPr>
          <w:rFonts w:cs="Times New Roman"/>
          <w:sz w:val="26"/>
          <w:szCs w:val="26"/>
          <w:lang w:val="it-IT"/>
        </w:rPr>
        <w:t xml:space="preserve"> non più ai sensi ai sensi </w:t>
      </w:r>
      <w:r w:rsidRPr="007950D1">
        <w:rPr>
          <w:rFonts w:cs="Times New Roman"/>
          <w:sz w:val="26"/>
          <w:szCs w:val="26"/>
          <w:lang w:val="it-IT"/>
        </w:rPr>
        <w:t>dell’</w:t>
      </w:r>
      <w:r w:rsidRPr="001D3650">
        <w:rPr>
          <w:rFonts w:cs="Times New Roman"/>
          <w:sz w:val="26"/>
          <w:szCs w:val="26"/>
          <w:lang w:val="it-IT"/>
        </w:rPr>
        <w:t xml:space="preserve"> </w:t>
      </w:r>
      <w:r w:rsidRPr="007950D1">
        <w:rPr>
          <w:rFonts w:cs="Times New Roman"/>
          <w:sz w:val="26"/>
          <w:szCs w:val="26"/>
          <w:lang w:val="it-IT"/>
        </w:rPr>
        <w:t>art. 6.5 (obblighi single side)</w:t>
      </w:r>
      <w:r>
        <w:rPr>
          <w:rFonts w:cs="Times New Roman"/>
          <w:sz w:val="26"/>
          <w:szCs w:val="26"/>
          <w:lang w:val="it-IT"/>
        </w:rPr>
        <w:t xml:space="preserve"> ma ai sensi dell’</w:t>
      </w:r>
      <w:r w:rsidRPr="001D3650">
        <w:rPr>
          <w:rFonts w:cs="Times New Roman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>art  6.4 (obblighi di quotazione buy – sell):</w:t>
      </w:r>
    </w:p>
    <w:tbl>
      <w:tblPr>
        <w:tblW w:w="0" w:type="auto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06"/>
        <w:gridCol w:w="1842"/>
        <w:gridCol w:w="1276"/>
        <w:gridCol w:w="1134"/>
        <w:gridCol w:w="1701"/>
        <w:gridCol w:w="2126"/>
        <w:gridCol w:w="1134"/>
        <w:gridCol w:w="1079"/>
      </w:tblGrid>
      <w:tr w:rsidR="008D572D" w:rsidRPr="008D572D" w:rsidTr="005D34EF">
        <w:trPr>
          <w:trHeight w:val="837"/>
          <w:jc w:val="center"/>
        </w:trPr>
        <w:tc>
          <w:tcPr>
            <w:tcW w:w="16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lastRenderedPageBreak/>
              <w:t>ISIN</w:t>
            </w:r>
          </w:p>
          <w:p w:rsid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90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Denominazione Strumento</w:t>
            </w:r>
          </w:p>
        </w:tc>
        <w:tc>
          <w:tcPr>
            <w:tcW w:w="1842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127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Trading Code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Instrument ID</w:t>
            </w:r>
          </w:p>
        </w:tc>
        <w:tc>
          <w:tcPr>
            <w:tcW w:w="1701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Classificazione EuroTLX</w:t>
            </w:r>
          </w:p>
        </w:tc>
        <w:tc>
          <w:tcPr>
            <w:tcW w:w="2126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Liquidity Provider</w:t>
            </w:r>
          </w:p>
        </w:tc>
        <w:tc>
          <w:tcPr>
            <w:tcW w:w="1134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it-IT"/>
              </w:rPr>
              <w:t>Obblighi Quotazione Continua</w:t>
            </w:r>
          </w:p>
        </w:tc>
        <w:tc>
          <w:tcPr>
            <w:tcW w:w="1079" w:type="dxa"/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Obblighi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Quantità</w:t>
            </w:r>
            <w:proofErr w:type="spellEnd"/>
            <w:r w:rsidRPr="008D57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Minima</w:t>
            </w:r>
          </w:p>
        </w:tc>
      </w:tr>
      <w:tr w:rsidR="008D572D" w:rsidRPr="008D572D" w:rsidTr="005D34EF">
        <w:trPr>
          <w:trHeight w:val="1750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C87060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XS1273326063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C87060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CITIGROUP - ESXX BANKS AUTOCALL 12LG23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C87060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CITIGROUP - ESXX BANKS AUTOCALL 12LG23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C87060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X32606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C87060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37721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C87060">
            <w:pPr>
              <w:rPr>
                <w:rFonts w:ascii="Tahoma" w:hAnsi="Tahoma" w:cs="Tahoma"/>
                <w:sz w:val="18"/>
                <w:szCs w:val="18"/>
              </w:rPr>
            </w:pPr>
            <w:r w:rsidRPr="008D572D">
              <w:rPr>
                <w:rFonts w:ascii="Tahoma" w:hAnsi="Tahoma" w:cs="Tahoma"/>
                <w:sz w:val="18"/>
                <w:szCs w:val="18"/>
              </w:rPr>
              <w:t>Certificates - INVESTMENT CERTIFICATES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  <w:lang w:val="it-IT"/>
              </w:rPr>
              <w:t>L'elenco completo ed aggiornato dei Liquidity Provider è diffuso quotidianamente attraverso i canali informativi del mercato ed è disponibile sul sito internet www.eurotlx.com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bid ask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D572D" w:rsidRPr="008D572D" w:rsidRDefault="008D572D" w:rsidP="005D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572D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</w:tr>
    </w:tbl>
    <w:p w:rsidR="008D572D" w:rsidRDefault="008D572D" w:rsidP="008D572D">
      <w:pPr>
        <w:rPr>
          <w:rFonts w:cs="Times New Roman"/>
          <w:sz w:val="26"/>
          <w:szCs w:val="26"/>
          <w:lang w:val="it-IT"/>
        </w:rPr>
      </w:pPr>
    </w:p>
    <w:p w:rsidR="008D572D" w:rsidRDefault="008D572D" w:rsidP="002D0E62">
      <w:pPr>
        <w:rPr>
          <w:rFonts w:cs="Times New Roman"/>
          <w:sz w:val="26"/>
          <w:szCs w:val="26"/>
          <w:lang w:val="it-IT"/>
        </w:rPr>
      </w:pPr>
    </w:p>
    <w:sectPr w:rsidR="008D572D" w:rsidSect="00C13529">
      <w:headerReference w:type="default" r:id="rId8"/>
      <w:footerReference w:type="default" r:id="rId9"/>
      <w:pgSz w:w="15840" w:h="12240" w:orient="landscape"/>
      <w:pgMar w:top="720" w:right="720" w:bottom="720" w:left="720" w:header="144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9F" w:rsidRDefault="00C8099F" w:rsidP="00C622DE">
      <w:pPr>
        <w:spacing w:after="0" w:line="240" w:lineRule="auto"/>
      </w:pPr>
      <w:r>
        <w:separator/>
      </w:r>
    </w:p>
  </w:endnote>
  <w:endnote w:type="continuationSeparator" w:id="0">
    <w:p w:rsidR="00C8099F" w:rsidRDefault="00C8099F" w:rsidP="00C6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SEGPlaceholder"/>
      <w:tblW w:w="0" w:type="auto"/>
      <w:tblLook w:val="04A0" w:firstRow="1" w:lastRow="0" w:firstColumn="1" w:lastColumn="0" w:noHBand="0" w:noVBand="1"/>
    </w:tblPr>
    <w:tblGrid>
      <w:gridCol w:w="10024"/>
    </w:tblGrid>
    <w:tr w:rsidR="00C8099F" w:rsidTr="00B142EB">
      <w:tc>
        <w:tcPr>
          <w:tcW w:w="10024" w:type="dxa"/>
        </w:tcPr>
        <w:p w:rsidR="00C8099F" w:rsidRPr="006F5611" w:rsidRDefault="00C8099F" w:rsidP="00B142EB">
          <w:pPr>
            <w:pStyle w:val="LSEGLogoFooter"/>
          </w:pPr>
          <w:r>
            <w:rPr>
              <w:lang w:val="it-IT" w:eastAsia="it-IT"/>
            </w:rPr>
            <w:drawing>
              <wp:inline distT="0" distB="0" distL="0" distR="0" wp14:anchorId="1B0B8FF1" wp14:editId="259DBDE2">
                <wp:extent cx="1618491" cy="377953"/>
                <wp:effectExtent l="0" t="0" r="127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SEG_LOGO_RGB_WB_STA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8099F" w:rsidRPr="003E703A" w:rsidTr="00B142EB">
      <w:trPr>
        <w:trHeight w:val="312"/>
      </w:trPr>
      <w:tc>
        <w:tcPr>
          <w:tcW w:w="10024" w:type="dxa"/>
          <w:vAlign w:val="bottom"/>
        </w:tcPr>
        <w:p w:rsidR="00C8099F" w:rsidRPr="003E703A" w:rsidRDefault="00C8099F" w:rsidP="00B142EB">
          <w:pPr>
            <w:pStyle w:val="LSEGLegalInfo"/>
            <w:rPr>
              <w:sz w:val="16"/>
              <w:szCs w:val="16"/>
            </w:rPr>
          </w:pPr>
        </w:p>
      </w:tc>
    </w:tr>
  </w:tbl>
  <w:p w:rsidR="00C8099F" w:rsidRPr="003E703A" w:rsidRDefault="00C8099F" w:rsidP="00C20083">
    <w:pPr>
      <w:pStyle w:val="Footer"/>
      <w:rPr>
        <w:sz w:val="16"/>
        <w:szCs w:val="16"/>
        <w:lang w:val="it-IT"/>
      </w:rPr>
    </w:pPr>
    <w:r w:rsidRPr="003E703A">
      <w:rPr>
        <w:sz w:val="16"/>
        <w:szCs w:val="16"/>
      </w:rPr>
      <w:t xml:space="preserve">EuroTLX SIM S.p.A. | Cap. Soc. </w:t>
    </w:r>
    <w:r w:rsidRPr="003E703A">
      <w:rPr>
        <w:sz w:val="16"/>
        <w:szCs w:val="16"/>
        <w:lang w:val="it-IT"/>
      </w:rPr>
      <w:t>€ 5.000.000,00 i.v. - Iscritta al Registro delle Imprese di Milano - Codice Fiscale e Partita IVA n. 03421230966 | R.E.A. n. 1673989 | Autorizzata con delibera CONSOB n. 17099 del 15 dicembre 2009 | Aderente Fondo Nazionale di Garanzia | Società sottoposta all'attività di direzione e coordinamento di London Stock Exchange Group Holdings Italia S.p.A.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9F" w:rsidRDefault="00C8099F" w:rsidP="00C622DE">
      <w:pPr>
        <w:spacing w:after="0" w:line="240" w:lineRule="auto"/>
      </w:pPr>
      <w:r>
        <w:separator/>
      </w:r>
    </w:p>
  </w:footnote>
  <w:footnote w:type="continuationSeparator" w:id="0">
    <w:p w:rsidR="00C8099F" w:rsidRDefault="00C8099F" w:rsidP="00C6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9F" w:rsidRPr="00C622DE" w:rsidRDefault="00C8099F" w:rsidP="00C622DE">
    <w:pPr>
      <w:pStyle w:val="Header"/>
    </w:pPr>
    <w:r>
      <w:rPr>
        <w:noProof/>
        <w:lang w:val="it-IT" w:eastAsia="it-IT"/>
      </w:rPr>
      <w:drawing>
        <wp:inline distT="0" distB="0" distL="0" distR="0" wp14:anchorId="21D68948" wp14:editId="3E5D4422">
          <wp:extent cx="1190625" cy="745976"/>
          <wp:effectExtent l="19050" t="19050" r="9525" b="165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188" cy="75071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921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CE"/>
    <w:rsid w:val="00001A94"/>
    <w:rsid w:val="0000456A"/>
    <w:rsid w:val="00011F00"/>
    <w:rsid w:val="00012254"/>
    <w:rsid w:val="00020C60"/>
    <w:rsid w:val="00020F0E"/>
    <w:rsid w:val="00023438"/>
    <w:rsid w:val="000247AF"/>
    <w:rsid w:val="00031E68"/>
    <w:rsid w:val="0003464D"/>
    <w:rsid w:val="00037E0D"/>
    <w:rsid w:val="00056F55"/>
    <w:rsid w:val="00057FF7"/>
    <w:rsid w:val="00064EC6"/>
    <w:rsid w:val="00070AA4"/>
    <w:rsid w:val="00072F0F"/>
    <w:rsid w:val="00075F6E"/>
    <w:rsid w:val="00080F3D"/>
    <w:rsid w:val="0008245A"/>
    <w:rsid w:val="000861EA"/>
    <w:rsid w:val="00090BA7"/>
    <w:rsid w:val="00092443"/>
    <w:rsid w:val="000938E7"/>
    <w:rsid w:val="00095E2B"/>
    <w:rsid w:val="00096337"/>
    <w:rsid w:val="00097205"/>
    <w:rsid w:val="00097279"/>
    <w:rsid w:val="000A607E"/>
    <w:rsid w:val="000B6DD2"/>
    <w:rsid w:val="000B7A64"/>
    <w:rsid w:val="000C1061"/>
    <w:rsid w:val="000C1BFD"/>
    <w:rsid w:val="000C303A"/>
    <w:rsid w:val="000E28F4"/>
    <w:rsid w:val="000E690F"/>
    <w:rsid w:val="000E72F8"/>
    <w:rsid w:val="000F02BB"/>
    <w:rsid w:val="000F15F5"/>
    <w:rsid w:val="000F45AD"/>
    <w:rsid w:val="000F5EFA"/>
    <w:rsid w:val="000F627E"/>
    <w:rsid w:val="000F6994"/>
    <w:rsid w:val="0010000E"/>
    <w:rsid w:val="0010414D"/>
    <w:rsid w:val="001048C4"/>
    <w:rsid w:val="001055EE"/>
    <w:rsid w:val="00106511"/>
    <w:rsid w:val="00106534"/>
    <w:rsid w:val="0011077F"/>
    <w:rsid w:val="00113394"/>
    <w:rsid w:val="00121606"/>
    <w:rsid w:val="00122E31"/>
    <w:rsid w:val="0012434A"/>
    <w:rsid w:val="001252D5"/>
    <w:rsid w:val="001263DB"/>
    <w:rsid w:val="00130B04"/>
    <w:rsid w:val="00131063"/>
    <w:rsid w:val="00132C34"/>
    <w:rsid w:val="001366BA"/>
    <w:rsid w:val="001407A1"/>
    <w:rsid w:val="00141458"/>
    <w:rsid w:val="00141E6C"/>
    <w:rsid w:val="00146E20"/>
    <w:rsid w:val="001474C6"/>
    <w:rsid w:val="001475FF"/>
    <w:rsid w:val="001509A5"/>
    <w:rsid w:val="001539B5"/>
    <w:rsid w:val="00153DD3"/>
    <w:rsid w:val="00153E42"/>
    <w:rsid w:val="001622CE"/>
    <w:rsid w:val="00165472"/>
    <w:rsid w:val="00165A28"/>
    <w:rsid w:val="0016741C"/>
    <w:rsid w:val="00170395"/>
    <w:rsid w:val="00176429"/>
    <w:rsid w:val="00181C57"/>
    <w:rsid w:val="00181D04"/>
    <w:rsid w:val="00182EF0"/>
    <w:rsid w:val="00186EC1"/>
    <w:rsid w:val="00187EE2"/>
    <w:rsid w:val="001912C1"/>
    <w:rsid w:val="00191C11"/>
    <w:rsid w:val="00194BAA"/>
    <w:rsid w:val="001973F9"/>
    <w:rsid w:val="001A1679"/>
    <w:rsid w:val="001A209A"/>
    <w:rsid w:val="001B256B"/>
    <w:rsid w:val="001B2871"/>
    <w:rsid w:val="001B46F0"/>
    <w:rsid w:val="001B5654"/>
    <w:rsid w:val="001C0BC3"/>
    <w:rsid w:val="001C2392"/>
    <w:rsid w:val="001C35B7"/>
    <w:rsid w:val="001C5B65"/>
    <w:rsid w:val="001C7129"/>
    <w:rsid w:val="001D02C8"/>
    <w:rsid w:val="001D3650"/>
    <w:rsid w:val="001D41EB"/>
    <w:rsid w:val="001E3D42"/>
    <w:rsid w:val="001E47A3"/>
    <w:rsid w:val="001E56A0"/>
    <w:rsid w:val="001F1D0E"/>
    <w:rsid w:val="001F4387"/>
    <w:rsid w:val="001F58AA"/>
    <w:rsid w:val="00201F4D"/>
    <w:rsid w:val="00203011"/>
    <w:rsid w:val="00215563"/>
    <w:rsid w:val="00216479"/>
    <w:rsid w:val="00217BEB"/>
    <w:rsid w:val="0023019C"/>
    <w:rsid w:val="0023411B"/>
    <w:rsid w:val="00235806"/>
    <w:rsid w:val="0024669B"/>
    <w:rsid w:val="0025353F"/>
    <w:rsid w:val="00270ECE"/>
    <w:rsid w:val="002716D2"/>
    <w:rsid w:val="00271723"/>
    <w:rsid w:val="0027396E"/>
    <w:rsid w:val="00274A52"/>
    <w:rsid w:val="00284818"/>
    <w:rsid w:val="00292B93"/>
    <w:rsid w:val="002934E9"/>
    <w:rsid w:val="00293AB5"/>
    <w:rsid w:val="002A185F"/>
    <w:rsid w:val="002B0481"/>
    <w:rsid w:val="002B4172"/>
    <w:rsid w:val="002B4517"/>
    <w:rsid w:val="002C2820"/>
    <w:rsid w:val="002C64AD"/>
    <w:rsid w:val="002D03D2"/>
    <w:rsid w:val="002D0E62"/>
    <w:rsid w:val="002D291A"/>
    <w:rsid w:val="002D4178"/>
    <w:rsid w:val="002D76D2"/>
    <w:rsid w:val="002E46E6"/>
    <w:rsid w:val="002E631B"/>
    <w:rsid w:val="002F30E0"/>
    <w:rsid w:val="002F64F2"/>
    <w:rsid w:val="003037F4"/>
    <w:rsid w:val="0030520F"/>
    <w:rsid w:val="00314213"/>
    <w:rsid w:val="003147DB"/>
    <w:rsid w:val="003153CF"/>
    <w:rsid w:val="00320158"/>
    <w:rsid w:val="0032126C"/>
    <w:rsid w:val="003227FC"/>
    <w:rsid w:val="00323882"/>
    <w:rsid w:val="003267A9"/>
    <w:rsid w:val="003302A5"/>
    <w:rsid w:val="003357F7"/>
    <w:rsid w:val="00335DE0"/>
    <w:rsid w:val="00337A61"/>
    <w:rsid w:val="003409BA"/>
    <w:rsid w:val="00341BE7"/>
    <w:rsid w:val="00345B0C"/>
    <w:rsid w:val="00345CB0"/>
    <w:rsid w:val="00357804"/>
    <w:rsid w:val="003670BE"/>
    <w:rsid w:val="00367C51"/>
    <w:rsid w:val="0037671C"/>
    <w:rsid w:val="00383362"/>
    <w:rsid w:val="00386B8A"/>
    <w:rsid w:val="00392B22"/>
    <w:rsid w:val="00395132"/>
    <w:rsid w:val="003970A0"/>
    <w:rsid w:val="00397273"/>
    <w:rsid w:val="0039747B"/>
    <w:rsid w:val="003A14B7"/>
    <w:rsid w:val="003A30AA"/>
    <w:rsid w:val="003A33DB"/>
    <w:rsid w:val="003A424F"/>
    <w:rsid w:val="003A4CB1"/>
    <w:rsid w:val="003B0EA6"/>
    <w:rsid w:val="003B1434"/>
    <w:rsid w:val="003B26D2"/>
    <w:rsid w:val="003B3256"/>
    <w:rsid w:val="003B5545"/>
    <w:rsid w:val="003B722F"/>
    <w:rsid w:val="003B74E3"/>
    <w:rsid w:val="003B799A"/>
    <w:rsid w:val="003C45AF"/>
    <w:rsid w:val="003C75B1"/>
    <w:rsid w:val="003D70F3"/>
    <w:rsid w:val="003E2C64"/>
    <w:rsid w:val="003E3745"/>
    <w:rsid w:val="003E703A"/>
    <w:rsid w:val="003E710E"/>
    <w:rsid w:val="003F2E1C"/>
    <w:rsid w:val="003F32E7"/>
    <w:rsid w:val="003F484E"/>
    <w:rsid w:val="003F499F"/>
    <w:rsid w:val="003F4A24"/>
    <w:rsid w:val="003F71B8"/>
    <w:rsid w:val="00402C6C"/>
    <w:rsid w:val="0040373E"/>
    <w:rsid w:val="00404C93"/>
    <w:rsid w:val="00407D18"/>
    <w:rsid w:val="004108C5"/>
    <w:rsid w:val="00410FAC"/>
    <w:rsid w:val="0041195A"/>
    <w:rsid w:val="00412D14"/>
    <w:rsid w:val="0041301F"/>
    <w:rsid w:val="00422020"/>
    <w:rsid w:val="00427185"/>
    <w:rsid w:val="00434F7D"/>
    <w:rsid w:val="004378C4"/>
    <w:rsid w:val="004411A9"/>
    <w:rsid w:val="00442728"/>
    <w:rsid w:val="00451E7C"/>
    <w:rsid w:val="00453DA7"/>
    <w:rsid w:val="004548C7"/>
    <w:rsid w:val="00455EB7"/>
    <w:rsid w:val="00457426"/>
    <w:rsid w:val="004619C8"/>
    <w:rsid w:val="00461C57"/>
    <w:rsid w:val="0046215B"/>
    <w:rsid w:val="00462836"/>
    <w:rsid w:val="00463BC8"/>
    <w:rsid w:val="004648A9"/>
    <w:rsid w:val="00466719"/>
    <w:rsid w:val="004677A4"/>
    <w:rsid w:val="00475FA5"/>
    <w:rsid w:val="004804CB"/>
    <w:rsid w:val="00482D9C"/>
    <w:rsid w:val="00483A1B"/>
    <w:rsid w:val="00484B36"/>
    <w:rsid w:val="0049095F"/>
    <w:rsid w:val="004A2D8C"/>
    <w:rsid w:val="004A3C1C"/>
    <w:rsid w:val="004A40BD"/>
    <w:rsid w:val="004B3F7E"/>
    <w:rsid w:val="004C2081"/>
    <w:rsid w:val="004C31C0"/>
    <w:rsid w:val="004C336E"/>
    <w:rsid w:val="004C5641"/>
    <w:rsid w:val="004C5B21"/>
    <w:rsid w:val="004C69E8"/>
    <w:rsid w:val="004C6BEF"/>
    <w:rsid w:val="004C7870"/>
    <w:rsid w:val="004D006C"/>
    <w:rsid w:val="004D23D3"/>
    <w:rsid w:val="004D41B6"/>
    <w:rsid w:val="004D64FE"/>
    <w:rsid w:val="004E1E01"/>
    <w:rsid w:val="004E219E"/>
    <w:rsid w:val="004E7807"/>
    <w:rsid w:val="004E7AA6"/>
    <w:rsid w:val="004F3DD4"/>
    <w:rsid w:val="004F5760"/>
    <w:rsid w:val="004F624D"/>
    <w:rsid w:val="004F6DC2"/>
    <w:rsid w:val="00505FB1"/>
    <w:rsid w:val="00517693"/>
    <w:rsid w:val="00523D04"/>
    <w:rsid w:val="00523FA9"/>
    <w:rsid w:val="005310C0"/>
    <w:rsid w:val="005425D6"/>
    <w:rsid w:val="00543752"/>
    <w:rsid w:val="00546A40"/>
    <w:rsid w:val="005629FC"/>
    <w:rsid w:val="00572791"/>
    <w:rsid w:val="005741DF"/>
    <w:rsid w:val="0058578F"/>
    <w:rsid w:val="00590569"/>
    <w:rsid w:val="00592F7E"/>
    <w:rsid w:val="005936CC"/>
    <w:rsid w:val="00596151"/>
    <w:rsid w:val="00596B9D"/>
    <w:rsid w:val="005A0C00"/>
    <w:rsid w:val="005A0CF0"/>
    <w:rsid w:val="005A3384"/>
    <w:rsid w:val="005A6285"/>
    <w:rsid w:val="005B0669"/>
    <w:rsid w:val="005B0A14"/>
    <w:rsid w:val="005B3913"/>
    <w:rsid w:val="005C17BA"/>
    <w:rsid w:val="005C2ECC"/>
    <w:rsid w:val="005C6F98"/>
    <w:rsid w:val="005C6FEE"/>
    <w:rsid w:val="005C7184"/>
    <w:rsid w:val="005D0634"/>
    <w:rsid w:val="005D213E"/>
    <w:rsid w:val="005D2CE2"/>
    <w:rsid w:val="005D3D0C"/>
    <w:rsid w:val="005D41FA"/>
    <w:rsid w:val="005D5D8F"/>
    <w:rsid w:val="005D79F2"/>
    <w:rsid w:val="005E1E6E"/>
    <w:rsid w:val="005E76D9"/>
    <w:rsid w:val="005F1626"/>
    <w:rsid w:val="006043BF"/>
    <w:rsid w:val="00604956"/>
    <w:rsid w:val="00605EE6"/>
    <w:rsid w:val="00605EFF"/>
    <w:rsid w:val="00613961"/>
    <w:rsid w:val="00614BDB"/>
    <w:rsid w:val="00615A33"/>
    <w:rsid w:val="00617BED"/>
    <w:rsid w:val="00620E20"/>
    <w:rsid w:val="006279BF"/>
    <w:rsid w:val="00627E53"/>
    <w:rsid w:val="0063256F"/>
    <w:rsid w:val="00637B85"/>
    <w:rsid w:val="00641A74"/>
    <w:rsid w:val="00642F0A"/>
    <w:rsid w:val="006475C6"/>
    <w:rsid w:val="00654960"/>
    <w:rsid w:val="0065620F"/>
    <w:rsid w:val="00657ABA"/>
    <w:rsid w:val="00661717"/>
    <w:rsid w:val="00666E31"/>
    <w:rsid w:val="006674B5"/>
    <w:rsid w:val="00670F9A"/>
    <w:rsid w:val="0067511B"/>
    <w:rsid w:val="00684B75"/>
    <w:rsid w:val="00692D05"/>
    <w:rsid w:val="0069587C"/>
    <w:rsid w:val="006A78C5"/>
    <w:rsid w:val="006B3D5D"/>
    <w:rsid w:val="006B4860"/>
    <w:rsid w:val="006B57DC"/>
    <w:rsid w:val="006E18B4"/>
    <w:rsid w:val="006E1F7E"/>
    <w:rsid w:val="006E267B"/>
    <w:rsid w:val="006E27C1"/>
    <w:rsid w:val="006E3D1D"/>
    <w:rsid w:val="006E43B1"/>
    <w:rsid w:val="006E5375"/>
    <w:rsid w:val="006F0C20"/>
    <w:rsid w:val="006F708B"/>
    <w:rsid w:val="006F7EB6"/>
    <w:rsid w:val="0070363C"/>
    <w:rsid w:val="00704D4B"/>
    <w:rsid w:val="0072332A"/>
    <w:rsid w:val="007361E9"/>
    <w:rsid w:val="00740F2F"/>
    <w:rsid w:val="007417BA"/>
    <w:rsid w:val="0074189D"/>
    <w:rsid w:val="00743C4E"/>
    <w:rsid w:val="00752999"/>
    <w:rsid w:val="007607B9"/>
    <w:rsid w:val="007620BA"/>
    <w:rsid w:val="0076427C"/>
    <w:rsid w:val="00767272"/>
    <w:rsid w:val="00774E1C"/>
    <w:rsid w:val="0077508D"/>
    <w:rsid w:val="00781F63"/>
    <w:rsid w:val="007847B7"/>
    <w:rsid w:val="00785DD3"/>
    <w:rsid w:val="007873FF"/>
    <w:rsid w:val="007877C8"/>
    <w:rsid w:val="007950D1"/>
    <w:rsid w:val="007958D4"/>
    <w:rsid w:val="007979E7"/>
    <w:rsid w:val="007A4D47"/>
    <w:rsid w:val="007A7C1A"/>
    <w:rsid w:val="007B0469"/>
    <w:rsid w:val="007B45FF"/>
    <w:rsid w:val="007B48F3"/>
    <w:rsid w:val="007B6F3A"/>
    <w:rsid w:val="007B7AD9"/>
    <w:rsid w:val="007C78D2"/>
    <w:rsid w:val="007C7DA8"/>
    <w:rsid w:val="007D07E6"/>
    <w:rsid w:val="007D6749"/>
    <w:rsid w:val="007D7EF2"/>
    <w:rsid w:val="007E0D16"/>
    <w:rsid w:val="007E2375"/>
    <w:rsid w:val="007E39A2"/>
    <w:rsid w:val="007E668F"/>
    <w:rsid w:val="007E7DCF"/>
    <w:rsid w:val="007F026A"/>
    <w:rsid w:val="007F040B"/>
    <w:rsid w:val="007F17BC"/>
    <w:rsid w:val="007F3FB2"/>
    <w:rsid w:val="007F6B2E"/>
    <w:rsid w:val="007F70EC"/>
    <w:rsid w:val="008034F0"/>
    <w:rsid w:val="008035DB"/>
    <w:rsid w:val="00827E3B"/>
    <w:rsid w:val="00855FB4"/>
    <w:rsid w:val="008574A1"/>
    <w:rsid w:val="0086291C"/>
    <w:rsid w:val="00862D88"/>
    <w:rsid w:val="00864494"/>
    <w:rsid w:val="008713B7"/>
    <w:rsid w:val="008760B4"/>
    <w:rsid w:val="00880567"/>
    <w:rsid w:val="00880C6F"/>
    <w:rsid w:val="008907AD"/>
    <w:rsid w:val="008974ED"/>
    <w:rsid w:val="008A01D1"/>
    <w:rsid w:val="008A5136"/>
    <w:rsid w:val="008A7AF5"/>
    <w:rsid w:val="008B25B8"/>
    <w:rsid w:val="008C07DB"/>
    <w:rsid w:val="008C22A8"/>
    <w:rsid w:val="008C2345"/>
    <w:rsid w:val="008C4A3C"/>
    <w:rsid w:val="008C4AD7"/>
    <w:rsid w:val="008D4851"/>
    <w:rsid w:val="008D572D"/>
    <w:rsid w:val="008F2144"/>
    <w:rsid w:val="008F265A"/>
    <w:rsid w:val="00901040"/>
    <w:rsid w:val="00917300"/>
    <w:rsid w:val="009175CE"/>
    <w:rsid w:val="00921F6A"/>
    <w:rsid w:val="0092700B"/>
    <w:rsid w:val="00927ABD"/>
    <w:rsid w:val="00930BA4"/>
    <w:rsid w:val="00931405"/>
    <w:rsid w:val="00933812"/>
    <w:rsid w:val="00934687"/>
    <w:rsid w:val="00935254"/>
    <w:rsid w:val="0093557F"/>
    <w:rsid w:val="00936197"/>
    <w:rsid w:val="009414DE"/>
    <w:rsid w:val="0094259E"/>
    <w:rsid w:val="00943C21"/>
    <w:rsid w:val="00945F1F"/>
    <w:rsid w:val="00947A82"/>
    <w:rsid w:val="00964B55"/>
    <w:rsid w:val="0096551D"/>
    <w:rsid w:val="00967F41"/>
    <w:rsid w:val="0097051C"/>
    <w:rsid w:val="0097074B"/>
    <w:rsid w:val="00970FFA"/>
    <w:rsid w:val="00971DC9"/>
    <w:rsid w:val="0097428C"/>
    <w:rsid w:val="009812BD"/>
    <w:rsid w:val="00984E0F"/>
    <w:rsid w:val="009856B5"/>
    <w:rsid w:val="00997DEB"/>
    <w:rsid w:val="009A3677"/>
    <w:rsid w:val="009A7995"/>
    <w:rsid w:val="009B0523"/>
    <w:rsid w:val="009B69B1"/>
    <w:rsid w:val="009B7420"/>
    <w:rsid w:val="009C1458"/>
    <w:rsid w:val="009C2A0A"/>
    <w:rsid w:val="009D77D5"/>
    <w:rsid w:val="009E387C"/>
    <w:rsid w:val="009E7809"/>
    <w:rsid w:val="009F27A0"/>
    <w:rsid w:val="009F2947"/>
    <w:rsid w:val="009F30AE"/>
    <w:rsid w:val="009F34C6"/>
    <w:rsid w:val="009F6D1A"/>
    <w:rsid w:val="009F6D52"/>
    <w:rsid w:val="009F7C41"/>
    <w:rsid w:val="00A0178B"/>
    <w:rsid w:val="00A03002"/>
    <w:rsid w:val="00A05697"/>
    <w:rsid w:val="00A16340"/>
    <w:rsid w:val="00A233A2"/>
    <w:rsid w:val="00A34865"/>
    <w:rsid w:val="00A37934"/>
    <w:rsid w:val="00A40CBC"/>
    <w:rsid w:val="00A42EC7"/>
    <w:rsid w:val="00A44CCD"/>
    <w:rsid w:val="00A47504"/>
    <w:rsid w:val="00A51872"/>
    <w:rsid w:val="00A53B08"/>
    <w:rsid w:val="00A57A45"/>
    <w:rsid w:val="00A608F7"/>
    <w:rsid w:val="00A62782"/>
    <w:rsid w:val="00A72AA6"/>
    <w:rsid w:val="00A74E17"/>
    <w:rsid w:val="00A82354"/>
    <w:rsid w:val="00A83AD8"/>
    <w:rsid w:val="00A8669F"/>
    <w:rsid w:val="00A872AC"/>
    <w:rsid w:val="00A95242"/>
    <w:rsid w:val="00A95703"/>
    <w:rsid w:val="00A95B73"/>
    <w:rsid w:val="00A973FE"/>
    <w:rsid w:val="00AA096B"/>
    <w:rsid w:val="00AA4311"/>
    <w:rsid w:val="00AA6110"/>
    <w:rsid w:val="00AB0407"/>
    <w:rsid w:val="00AB0506"/>
    <w:rsid w:val="00AC188B"/>
    <w:rsid w:val="00AD21B7"/>
    <w:rsid w:val="00AD25F7"/>
    <w:rsid w:val="00AD5D91"/>
    <w:rsid w:val="00AD7F47"/>
    <w:rsid w:val="00AE5866"/>
    <w:rsid w:val="00AF111A"/>
    <w:rsid w:val="00AF1314"/>
    <w:rsid w:val="00AF5AB9"/>
    <w:rsid w:val="00AF6A01"/>
    <w:rsid w:val="00AF7DDF"/>
    <w:rsid w:val="00B05B26"/>
    <w:rsid w:val="00B142EB"/>
    <w:rsid w:val="00B143B4"/>
    <w:rsid w:val="00B157D1"/>
    <w:rsid w:val="00B16A2D"/>
    <w:rsid w:val="00B212C3"/>
    <w:rsid w:val="00B2340E"/>
    <w:rsid w:val="00B2546A"/>
    <w:rsid w:val="00B2727B"/>
    <w:rsid w:val="00B312AC"/>
    <w:rsid w:val="00B313D1"/>
    <w:rsid w:val="00B31474"/>
    <w:rsid w:val="00B34DB3"/>
    <w:rsid w:val="00B364F7"/>
    <w:rsid w:val="00B402F9"/>
    <w:rsid w:val="00B428EA"/>
    <w:rsid w:val="00B43841"/>
    <w:rsid w:val="00B536E6"/>
    <w:rsid w:val="00B560C6"/>
    <w:rsid w:val="00B561E5"/>
    <w:rsid w:val="00B5771B"/>
    <w:rsid w:val="00B62142"/>
    <w:rsid w:val="00B6564A"/>
    <w:rsid w:val="00B6787A"/>
    <w:rsid w:val="00B704E7"/>
    <w:rsid w:val="00B742F8"/>
    <w:rsid w:val="00B773C8"/>
    <w:rsid w:val="00B80AA7"/>
    <w:rsid w:val="00B86778"/>
    <w:rsid w:val="00B939D3"/>
    <w:rsid w:val="00BA32AA"/>
    <w:rsid w:val="00BA3854"/>
    <w:rsid w:val="00BA50D0"/>
    <w:rsid w:val="00BB0043"/>
    <w:rsid w:val="00BB13BB"/>
    <w:rsid w:val="00BB53D7"/>
    <w:rsid w:val="00BC0A96"/>
    <w:rsid w:val="00BC1F22"/>
    <w:rsid w:val="00BD490E"/>
    <w:rsid w:val="00BE1212"/>
    <w:rsid w:val="00BE3E69"/>
    <w:rsid w:val="00BE412E"/>
    <w:rsid w:val="00BE66BC"/>
    <w:rsid w:val="00BE6BB7"/>
    <w:rsid w:val="00BF1250"/>
    <w:rsid w:val="00BF1539"/>
    <w:rsid w:val="00BF4152"/>
    <w:rsid w:val="00BF4FBD"/>
    <w:rsid w:val="00BF6785"/>
    <w:rsid w:val="00C017A8"/>
    <w:rsid w:val="00C03CD8"/>
    <w:rsid w:val="00C0559B"/>
    <w:rsid w:val="00C10A91"/>
    <w:rsid w:val="00C12FB3"/>
    <w:rsid w:val="00C13529"/>
    <w:rsid w:val="00C1693B"/>
    <w:rsid w:val="00C20083"/>
    <w:rsid w:val="00C30E3F"/>
    <w:rsid w:val="00C34428"/>
    <w:rsid w:val="00C35F39"/>
    <w:rsid w:val="00C37E71"/>
    <w:rsid w:val="00C4018C"/>
    <w:rsid w:val="00C416E7"/>
    <w:rsid w:val="00C4285E"/>
    <w:rsid w:val="00C462FB"/>
    <w:rsid w:val="00C47912"/>
    <w:rsid w:val="00C47E88"/>
    <w:rsid w:val="00C60531"/>
    <w:rsid w:val="00C622DE"/>
    <w:rsid w:val="00C65603"/>
    <w:rsid w:val="00C72F57"/>
    <w:rsid w:val="00C73F4D"/>
    <w:rsid w:val="00C757DC"/>
    <w:rsid w:val="00C777E2"/>
    <w:rsid w:val="00C77DB6"/>
    <w:rsid w:val="00C8099F"/>
    <w:rsid w:val="00C81B50"/>
    <w:rsid w:val="00C84796"/>
    <w:rsid w:val="00C853AF"/>
    <w:rsid w:val="00C86380"/>
    <w:rsid w:val="00C921B4"/>
    <w:rsid w:val="00CA5518"/>
    <w:rsid w:val="00CB2B9D"/>
    <w:rsid w:val="00CB3B6F"/>
    <w:rsid w:val="00CC1365"/>
    <w:rsid w:val="00CC1696"/>
    <w:rsid w:val="00CC17AD"/>
    <w:rsid w:val="00CC18D9"/>
    <w:rsid w:val="00CC7B9C"/>
    <w:rsid w:val="00CD033D"/>
    <w:rsid w:val="00CD045A"/>
    <w:rsid w:val="00CD1253"/>
    <w:rsid w:val="00CD139F"/>
    <w:rsid w:val="00CE5FC9"/>
    <w:rsid w:val="00CE6495"/>
    <w:rsid w:val="00CE6504"/>
    <w:rsid w:val="00CE710C"/>
    <w:rsid w:val="00CF1E57"/>
    <w:rsid w:val="00CF45A9"/>
    <w:rsid w:val="00CF79F4"/>
    <w:rsid w:val="00D03D12"/>
    <w:rsid w:val="00D118FF"/>
    <w:rsid w:val="00D126D4"/>
    <w:rsid w:val="00D14212"/>
    <w:rsid w:val="00D162AA"/>
    <w:rsid w:val="00D21C53"/>
    <w:rsid w:val="00D224BD"/>
    <w:rsid w:val="00D24000"/>
    <w:rsid w:val="00D2793C"/>
    <w:rsid w:val="00D27CD4"/>
    <w:rsid w:val="00D31C03"/>
    <w:rsid w:val="00D431BB"/>
    <w:rsid w:val="00D4409A"/>
    <w:rsid w:val="00D476DE"/>
    <w:rsid w:val="00D4788E"/>
    <w:rsid w:val="00D521BF"/>
    <w:rsid w:val="00D61E71"/>
    <w:rsid w:val="00D62F24"/>
    <w:rsid w:val="00D6402B"/>
    <w:rsid w:val="00D654C2"/>
    <w:rsid w:val="00D65C10"/>
    <w:rsid w:val="00D66F4C"/>
    <w:rsid w:val="00D70E8D"/>
    <w:rsid w:val="00D710E4"/>
    <w:rsid w:val="00D72CAB"/>
    <w:rsid w:val="00D73108"/>
    <w:rsid w:val="00D82959"/>
    <w:rsid w:val="00D87615"/>
    <w:rsid w:val="00D87FF1"/>
    <w:rsid w:val="00D9155C"/>
    <w:rsid w:val="00D94ECC"/>
    <w:rsid w:val="00DA0EB6"/>
    <w:rsid w:val="00DA361F"/>
    <w:rsid w:val="00DA5E3C"/>
    <w:rsid w:val="00DA721C"/>
    <w:rsid w:val="00DB242C"/>
    <w:rsid w:val="00DB6C1C"/>
    <w:rsid w:val="00DC1024"/>
    <w:rsid w:val="00DC106C"/>
    <w:rsid w:val="00DC3567"/>
    <w:rsid w:val="00DC481B"/>
    <w:rsid w:val="00DC4CEF"/>
    <w:rsid w:val="00DC5642"/>
    <w:rsid w:val="00DC5C77"/>
    <w:rsid w:val="00DC795E"/>
    <w:rsid w:val="00DC7B68"/>
    <w:rsid w:val="00DD1331"/>
    <w:rsid w:val="00DD1580"/>
    <w:rsid w:val="00DD3C22"/>
    <w:rsid w:val="00DE65AB"/>
    <w:rsid w:val="00DF02FA"/>
    <w:rsid w:val="00DF0AED"/>
    <w:rsid w:val="00DF5E10"/>
    <w:rsid w:val="00DF7FE8"/>
    <w:rsid w:val="00E01204"/>
    <w:rsid w:val="00E072D0"/>
    <w:rsid w:val="00E07595"/>
    <w:rsid w:val="00E0763E"/>
    <w:rsid w:val="00E14BE9"/>
    <w:rsid w:val="00E15450"/>
    <w:rsid w:val="00E226FF"/>
    <w:rsid w:val="00E25827"/>
    <w:rsid w:val="00E26701"/>
    <w:rsid w:val="00E33751"/>
    <w:rsid w:val="00E3787E"/>
    <w:rsid w:val="00E43C8E"/>
    <w:rsid w:val="00E45439"/>
    <w:rsid w:val="00E6150C"/>
    <w:rsid w:val="00E6351E"/>
    <w:rsid w:val="00E66F70"/>
    <w:rsid w:val="00E70531"/>
    <w:rsid w:val="00E71AD1"/>
    <w:rsid w:val="00E72A1F"/>
    <w:rsid w:val="00E82D6D"/>
    <w:rsid w:val="00E91A86"/>
    <w:rsid w:val="00E97517"/>
    <w:rsid w:val="00EA193D"/>
    <w:rsid w:val="00EA1C03"/>
    <w:rsid w:val="00EA20B0"/>
    <w:rsid w:val="00EA5B59"/>
    <w:rsid w:val="00EC1A4A"/>
    <w:rsid w:val="00EC3050"/>
    <w:rsid w:val="00ED098A"/>
    <w:rsid w:val="00ED461C"/>
    <w:rsid w:val="00ED695D"/>
    <w:rsid w:val="00EE1B44"/>
    <w:rsid w:val="00EE361B"/>
    <w:rsid w:val="00EE5FAB"/>
    <w:rsid w:val="00EF4DA3"/>
    <w:rsid w:val="00EF57FA"/>
    <w:rsid w:val="00EF592B"/>
    <w:rsid w:val="00EF7668"/>
    <w:rsid w:val="00EF7C42"/>
    <w:rsid w:val="00F0615E"/>
    <w:rsid w:val="00F0671A"/>
    <w:rsid w:val="00F0755B"/>
    <w:rsid w:val="00F075E0"/>
    <w:rsid w:val="00F122BF"/>
    <w:rsid w:val="00F178EC"/>
    <w:rsid w:val="00F17E6A"/>
    <w:rsid w:val="00F21688"/>
    <w:rsid w:val="00F272CD"/>
    <w:rsid w:val="00F27672"/>
    <w:rsid w:val="00F31E79"/>
    <w:rsid w:val="00F3543A"/>
    <w:rsid w:val="00F379F9"/>
    <w:rsid w:val="00F40C07"/>
    <w:rsid w:val="00F41D52"/>
    <w:rsid w:val="00F50BE7"/>
    <w:rsid w:val="00F54F14"/>
    <w:rsid w:val="00F56243"/>
    <w:rsid w:val="00F63819"/>
    <w:rsid w:val="00F710C4"/>
    <w:rsid w:val="00F7226A"/>
    <w:rsid w:val="00F72860"/>
    <w:rsid w:val="00F73019"/>
    <w:rsid w:val="00F7655C"/>
    <w:rsid w:val="00F835D0"/>
    <w:rsid w:val="00F85AD6"/>
    <w:rsid w:val="00F87976"/>
    <w:rsid w:val="00F9576E"/>
    <w:rsid w:val="00FA0306"/>
    <w:rsid w:val="00FA2A38"/>
    <w:rsid w:val="00FA64DB"/>
    <w:rsid w:val="00FA74F0"/>
    <w:rsid w:val="00FA75E5"/>
    <w:rsid w:val="00FB456C"/>
    <w:rsid w:val="00FB548B"/>
    <w:rsid w:val="00FC7F7A"/>
    <w:rsid w:val="00FD452F"/>
    <w:rsid w:val="00FE4E32"/>
    <w:rsid w:val="00FE613F"/>
    <w:rsid w:val="00FF12C5"/>
    <w:rsid w:val="00FF43BB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DE"/>
  </w:style>
  <w:style w:type="paragraph" w:styleId="Footer">
    <w:name w:val="footer"/>
    <w:basedOn w:val="Normal"/>
    <w:link w:val="Foot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DE"/>
  </w:style>
  <w:style w:type="paragraph" w:styleId="BalloonText">
    <w:name w:val="Balloon Text"/>
    <w:basedOn w:val="Normal"/>
    <w:link w:val="BalloonTextChar"/>
    <w:uiPriority w:val="99"/>
    <w:semiHidden/>
    <w:unhideWhenUsed/>
    <w:rsid w:val="00C6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E"/>
    <w:rPr>
      <w:rFonts w:ascii="Tahoma" w:hAnsi="Tahoma" w:cs="Tahoma"/>
      <w:sz w:val="16"/>
      <w:szCs w:val="16"/>
    </w:rPr>
  </w:style>
  <w:style w:type="table" w:customStyle="1" w:styleId="LSEGPlaceholder">
    <w:name w:val="LSEG Placeholder"/>
    <w:basedOn w:val="TableNormal"/>
    <w:uiPriority w:val="99"/>
    <w:unhideWhenUsed/>
    <w:rsid w:val="00C20083"/>
    <w:pPr>
      <w:spacing w:after="0" w:line="240" w:lineRule="auto"/>
    </w:pPr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LSEGLegalInfo">
    <w:name w:val="LSEG Legal Info"/>
    <w:basedOn w:val="Normal"/>
    <w:uiPriority w:val="99"/>
    <w:rsid w:val="00C20083"/>
    <w:pPr>
      <w:spacing w:before="120" w:after="0" w:line="180" w:lineRule="exact"/>
    </w:pPr>
    <w:rPr>
      <w:rFonts w:ascii="Arial" w:hAnsi="Arial"/>
      <w:color w:val="16202C"/>
      <w:sz w:val="14"/>
      <w:lang w:val="en-GB"/>
    </w:rPr>
  </w:style>
  <w:style w:type="paragraph" w:customStyle="1" w:styleId="LSEGLogoFooter">
    <w:name w:val="LSEG Logo Footer"/>
    <w:basedOn w:val="Normal"/>
    <w:uiPriority w:val="99"/>
    <w:rsid w:val="00C2008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/>
      <w:color w:val="000000"/>
      <w:sz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DE"/>
  </w:style>
  <w:style w:type="paragraph" w:styleId="Footer">
    <w:name w:val="footer"/>
    <w:basedOn w:val="Normal"/>
    <w:link w:val="Foot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DE"/>
  </w:style>
  <w:style w:type="paragraph" w:styleId="BalloonText">
    <w:name w:val="Balloon Text"/>
    <w:basedOn w:val="Normal"/>
    <w:link w:val="BalloonTextChar"/>
    <w:uiPriority w:val="99"/>
    <w:semiHidden/>
    <w:unhideWhenUsed/>
    <w:rsid w:val="00C6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E"/>
    <w:rPr>
      <w:rFonts w:ascii="Tahoma" w:hAnsi="Tahoma" w:cs="Tahoma"/>
      <w:sz w:val="16"/>
      <w:szCs w:val="16"/>
    </w:rPr>
  </w:style>
  <w:style w:type="table" w:customStyle="1" w:styleId="LSEGPlaceholder">
    <w:name w:val="LSEG Placeholder"/>
    <w:basedOn w:val="TableNormal"/>
    <w:uiPriority w:val="99"/>
    <w:unhideWhenUsed/>
    <w:rsid w:val="00C20083"/>
    <w:pPr>
      <w:spacing w:after="0" w:line="240" w:lineRule="auto"/>
    </w:pPr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LSEGLegalInfo">
    <w:name w:val="LSEG Legal Info"/>
    <w:basedOn w:val="Normal"/>
    <w:uiPriority w:val="99"/>
    <w:rsid w:val="00C20083"/>
    <w:pPr>
      <w:spacing w:before="120" w:after="0" w:line="180" w:lineRule="exact"/>
    </w:pPr>
    <w:rPr>
      <w:rFonts w:ascii="Arial" w:hAnsi="Arial"/>
      <w:color w:val="16202C"/>
      <w:sz w:val="14"/>
      <w:lang w:val="en-GB"/>
    </w:rPr>
  </w:style>
  <w:style w:type="paragraph" w:customStyle="1" w:styleId="LSEGLogoFooter">
    <w:name w:val="LSEG Logo Footer"/>
    <w:basedOn w:val="Normal"/>
    <w:uiPriority w:val="99"/>
    <w:rsid w:val="00C2008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/>
      <w:color w:val="000000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D476-5AEF-461D-8BD4-FA914D2D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Stock Exchange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Agosta, Andrea</dc:creator>
  <cp:lastModifiedBy>Angonese, Massimiliano</cp:lastModifiedBy>
  <cp:revision>30</cp:revision>
  <cp:lastPrinted>2019-11-12T10:55:00Z</cp:lastPrinted>
  <dcterms:created xsi:type="dcterms:W3CDTF">2019-11-12T10:51:00Z</dcterms:created>
  <dcterms:modified xsi:type="dcterms:W3CDTF">2019-12-17T15:53:00Z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132933228</vt:i4>
  </property>
  <property fmtid="{D5CDD505-2E9C-101B-9397-08002B2CF9AE}" pid="3" name="_NewReviewCycle">
    <vt:lpwstr/>
  </property>
  <property fmtid="{D5CDD505-2E9C-101B-9397-08002B2CF9AE}" pid="4" name="_EmailSubject">
    <vt:lpwstr>Un pò di modulistica….</vt:lpwstr>
  </property>
  <property fmtid="{D5CDD505-2E9C-101B-9397-08002B2CF9AE}" pid="5" name="_AuthorEmail">
    <vt:lpwstr>andrea.agosta@eurotlx.com</vt:lpwstr>
  </property>
  <property fmtid="{D5CDD505-2E9C-101B-9397-08002B2CF9AE}" pid="6" name="_AuthorEmailDisplayName">
    <vt:lpwstr>Agosta, Andrea</vt:lpwstr>
  </property>
  <property fmtid="{D5CDD505-2E9C-101B-9397-08002B2CF9AE}" pid="7" name="_ReviewingToolsShownOnce">
    <vt:lpwstr/>
  </property>
</Properties>
</file>